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61DA" w14:textId="0FF5BC7F" w:rsidR="009500E5" w:rsidRPr="009500E5" w:rsidRDefault="009500E5" w:rsidP="009500E5">
      <w:pPr>
        <w:rPr>
          <w:rFonts w:ascii="Times New Roman" w:hAnsi="Times New Roman" w:cs="Times New Roman"/>
          <w:b/>
          <w:bCs/>
          <w:sz w:val="24"/>
          <w:szCs w:val="24"/>
        </w:rPr>
      </w:pPr>
      <w:r w:rsidRPr="009500E5">
        <w:rPr>
          <w:rFonts w:ascii="Times New Roman" w:hAnsi="Times New Roman" w:cs="Times New Roman"/>
          <w:b/>
          <w:bCs/>
          <w:sz w:val="24"/>
          <w:szCs w:val="24"/>
        </w:rPr>
        <w:t>SEARCH REPORT ON ENGAGEMENT BETWEEN SEX WORKER–LED ORGANIZATIONS, THE MINISTRIES OF WOMEN AFFAIRS, AND THE NIGERIAN FEMINIST MOVEMENT</w:t>
      </w:r>
      <w:r w:rsidRPr="009500E5">
        <w:rPr>
          <w:rFonts w:ascii="Times New Roman" w:hAnsi="Times New Roman" w:cs="Times New Roman"/>
          <w:b/>
          <w:bCs/>
          <w:sz w:val="24"/>
          <w:szCs w:val="24"/>
        </w:rPr>
        <w:t xml:space="preserve"> conduct 20 July 2025 by GWIHR </w:t>
      </w:r>
    </w:p>
    <w:p w14:paraId="74C82FB1" w14:textId="0758C904"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A nationwide consultation was conducted with fifty-five</w:t>
      </w:r>
      <w:r>
        <w:rPr>
          <w:rFonts w:ascii="Times New Roman" w:hAnsi="Times New Roman" w:cs="Times New Roman"/>
          <w:sz w:val="24"/>
          <w:szCs w:val="24"/>
        </w:rPr>
        <w:t>(55)</w:t>
      </w:r>
      <w:r w:rsidRPr="009500E5">
        <w:rPr>
          <w:rFonts w:ascii="Times New Roman" w:hAnsi="Times New Roman" w:cs="Times New Roman"/>
          <w:sz w:val="24"/>
          <w:szCs w:val="24"/>
          <w:lang w:val="vi-VN"/>
        </w:rPr>
        <w:t xml:space="preserve"> sex worker leaders across Nigeria to assess the level of engagement between sex worker-led networks and two key actors in the gender justice ecosystem: the Ministry of Women Affairs and Nigerian feminist groups. The consultation aimed to understand whether sex workers are meaningfully included in national and state gender advocacy spaces, what forms of engagement currently exist, and what barriers hinder stronger collaboration.</w:t>
      </w:r>
    </w:p>
    <w:p w14:paraId="3EDA9FA6"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The findings reveal an overwhelming gap in representation and engagement. Only 6% of the consulted leaders reported any form of interaction with either the Ministry of Women Affairs or feminist groups in Nigeria. Even among this small proportion, the engagements were described as occasional and largely triggered by crisis or external invitations rather than consistent, strategic partnership. One leader from Rivers State explained, </w:t>
      </w:r>
      <w:r w:rsidRPr="009500E5">
        <w:rPr>
          <w:rFonts w:ascii="Times New Roman" w:hAnsi="Times New Roman" w:cs="Times New Roman"/>
          <w:b/>
          <w:bCs/>
          <w:i/>
          <w:iCs/>
          <w:sz w:val="24"/>
          <w:szCs w:val="24"/>
          <w:lang w:val="vi-VN"/>
        </w:rPr>
        <w:t>“They only call us when something happens to a sex worker. After that, everything goes quiet again.”</w:t>
      </w:r>
    </w:p>
    <w:p w14:paraId="642B7101"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sz w:val="24"/>
          <w:szCs w:val="24"/>
          <w:lang w:val="vi-VN"/>
        </w:rPr>
        <w:t xml:space="preserve">The remaining 94% of leaders reported </w:t>
      </w:r>
      <w:r w:rsidRPr="009500E5">
        <w:rPr>
          <w:rFonts w:ascii="Times New Roman" w:hAnsi="Times New Roman" w:cs="Times New Roman"/>
          <w:b/>
          <w:bCs/>
          <w:sz w:val="24"/>
          <w:szCs w:val="24"/>
          <w:lang w:val="vi-VN"/>
        </w:rPr>
        <w:t>no engagement</w:t>
      </w:r>
      <w:r w:rsidRPr="009500E5">
        <w:rPr>
          <w:rFonts w:ascii="Times New Roman" w:hAnsi="Times New Roman" w:cs="Times New Roman"/>
          <w:sz w:val="24"/>
          <w:szCs w:val="24"/>
          <w:lang w:val="vi-VN"/>
        </w:rPr>
        <w:t xml:space="preserve"> at all. Many attributed this to persistent stigma and moral judgments that exclude sex workers from mainstream gender spaces. A leader from Abia State shared, </w:t>
      </w:r>
      <w:r w:rsidRPr="009500E5">
        <w:rPr>
          <w:rFonts w:ascii="Times New Roman" w:hAnsi="Times New Roman" w:cs="Times New Roman"/>
          <w:i/>
          <w:iCs/>
          <w:sz w:val="24"/>
          <w:szCs w:val="24"/>
          <w:lang w:val="vi-VN"/>
        </w:rPr>
        <w:t>“</w:t>
      </w:r>
      <w:r w:rsidRPr="009500E5">
        <w:rPr>
          <w:rFonts w:ascii="Times New Roman" w:hAnsi="Times New Roman" w:cs="Times New Roman"/>
          <w:b/>
          <w:bCs/>
          <w:i/>
          <w:iCs/>
          <w:sz w:val="24"/>
          <w:szCs w:val="24"/>
          <w:lang w:val="vi-VN"/>
        </w:rPr>
        <w:t>We are women, but they don’t see us as part of the women’s movement</w:t>
      </w:r>
      <w:r w:rsidRPr="009500E5">
        <w:rPr>
          <w:rFonts w:ascii="Times New Roman" w:hAnsi="Times New Roman" w:cs="Times New Roman"/>
          <w:i/>
          <w:iCs/>
          <w:sz w:val="24"/>
          <w:szCs w:val="24"/>
          <w:lang w:val="vi-VN"/>
        </w:rPr>
        <w:t xml:space="preserve">. </w:t>
      </w:r>
      <w:r w:rsidRPr="009500E5">
        <w:rPr>
          <w:rFonts w:ascii="Times New Roman" w:hAnsi="Times New Roman" w:cs="Times New Roman"/>
          <w:b/>
          <w:bCs/>
          <w:i/>
          <w:iCs/>
          <w:sz w:val="24"/>
          <w:szCs w:val="24"/>
          <w:lang w:val="vi-VN"/>
        </w:rPr>
        <w:t>They treat us like our issues are too controversial or embarrassing.”</w:t>
      </w:r>
      <w:r w:rsidRPr="009500E5">
        <w:rPr>
          <w:rFonts w:ascii="Times New Roman" w:hAnsi="Times New Roman" w:cs="Times New Roman"/>
          <w:b/>
          <w:bCs/>
          <w:sz w:val="24"/>
          <w:szCs w:val="24"/>
          <w:lang w:val="vi-VN"/>
        </w:rPr>
        <w:t xml:space="preserve"> </w:t>
      </w:r>
      <w:r w:rsidRPr="009500E5">
        <w:rPr>
          <w:rFonts w:ascii="Times New Roman" w:hAnsi="Times New Roman" w:cs="Times New Roman"/>
          <w:sz w:val="24"/>
          <w:szCs w:val="24"/>
          <w:lang w:val="vi-VN"/>
        </w:rPr>
        <w:t xml:space="preserve">Another leader from the North Central zone added, </w:t>
      </w:r>
      <w:r w:rsidRPr="009500E5">
        <w:rPr>
          <w:rFonts w:ascii="Times New Roman" w:hAnsi="Times New Roman" w:cs="Times New Roman"/>
          <w:i/>
          <w:iCs/>
          <w:sz w:val="24"/>
          <w:szCs w:val="24"/>
          <w:lang w:val="vi-VN"/>
        </w:rPr>
        <w:t>“</w:t>
      </w:r>
      <w:r w:rsidRPr="009500E5">
        <w:rPr>
          <w:rFonts w:ascii="Times New Roman" w:hAnsi="Times New Roman" w:cs="Times New Roman"/>
          <w:b/>
          <w:bCs/>
          <w:i/>
          <w:iCs/>
          <w:sz w:val="24"/>
          <w:szCs w:val="24"/>
          <w:lang w:val="vi-VN"/>
        </w:rPr>
        <w:t>I have tried to attend women’s meetings, but the moment they know I am a sex worker, the atmosphere changes. You can feel the rejection.”</w:t>
      </w:r>
    </w:p>
    <w:p w14:paraId="719B1B10"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Several leaders emphasized that most feminist groups do not intentionally create space for sex workers in their advocacy. A participant from Lagos reflected, </w:t>
      </w:r>
      <w:r w:rsidRPr="009500E5">
        <w:rPr>
          <w:rFonts w:ascii="Times New Roman" w:hAnsi="Times New Roman" w:cs="Times New Roman"/>
          <w:i/>
          <w:iCs/>
          <w:sz w:val="24"/>
          <w:szCs w:val="24"/>
          <w:lang w:val="vi-VN"/>
        </w:rPr>
        <w:t>“</w:t>
      </w:r>
      <w:r w:rsidRPr="009500E5">
        <w:rPr>
          <w:rFonts w:ascii="Times New Roman" w:hAnsi="Times New Roman" w:cs="Times New Roman"/>
          <w:b/>
          <w:bCs/>
          <w:i/>
          <w:iCs/>
          <w:sz w:val="24"/>
          <w:szCs w:val="24"/>
          <w:lang w:val="vi-VN"/>
        </w:rPr>
        <w:t>Feminist groups talk about bodily autonomy and choice, but somehow sex workers are still not part of that conversation</w:t>
      </w:r>
      <w:r w:rsidRPr="009500E5">
        <w:rPr>
          <w:rFonts w:ascii="Times New Roman" w:hAnsi="Times New Roman" w:cs="Times New Roman"/>
          <w:i/>
          <w:iCs/>
          <w:sz w:val="24"/>
          <w:szCs w:val="24"/>
          <w:lang w:val="vi-VN"/>
        </w:rPr>
        <w:t>.”</w:t>
      </w:r>
      <w:r w:rsidRPr="009500E5">
        <w:rPr>
          <w:rFonts w:ascii="Times New Roman" w:hAnsi="Times New Roman" w:cs="Times New Roman"/>
          <w:sz w:val="24"/>
          <w:szCs w:val="24"/>
          <w:lang w:val="vi-VN"/>
        </w:rPr>
        <w:t xml:space="preserve"> This sense of exclusion was consistently raised, suggesting a disconnect between feminist rhetoric and the lived realities of sex workers.</w:t>
      </w:r>
    </w:p>
    <w:p w14:paraId="666A1DA3"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Structural gaps also emerged. Many leaders noted the absence of clear entry points for sex worker organizations to participate in policy discussions or coordination meetings led by the Ministry of Women Affairs. Limited funding and safety risks further restrict their ability to engage. One leader stated, </w:t>
      </w:r>
      <w:r w:rsidRPr="009500E5">
        <w:rPr>
          <w:rFonts w:ascii="Times New Roman" w:hAnsi="Times New Roman" w:cs="Times New Roman"/>
          <w:b/>
          <w:bCs/>
          <w:i/>
          <w:iCs/>
          <w:sz w:val="24"/>
          <w:szCs w:val="24"/>
          <w:lang w:val="vi-VN"/>
        </w:rPr>
        <w:t>“Even if we want to engage, we don’t know where to start. There’s no channel, no invitation, no recognition of our work.”</w:t>
      </w:r>
    </w:p>
    <w:p w14:paraId="0FFFD48E"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sz w:val="24"/>
          <w:szCs w:val="24"/>
          <w:lang w:val="vi-VN"/>
        </w:rPr>
        <w:t xml:space="preserve">The consultation highlights that sex workers remain largely invisible within Nigeria’s gender equality landscape despite being disproportionately affected by gender-based violence, discrimination, and harmful policies. The experiences shared by the 55 leaders demonstrate not only missed opportunities for inclusive advocacy but also the emotional and symbolic weight of exclusion. As one participant put it succinctly, </w:t>
      </w:r>
      <w:r w:rsidRPr="009500E5">
        <w:rPr>
          <w:rFonts w:ascii="Times New Roman" w:hAnsi="Times New Roman" w:cs="Times New Roman"/>
          <w:i/>
          <w:iCs/>
          <w:sz w:val="24"/>
          <w:szCs w:val="24"/>
          <w:lang w:val="vi-VN"/>
        </w:rPr>
        <w:t>“</w:t>
      </w:r>
      <w:r w:rsidRPr="009500E5">
        <w:rPr>
          <w:rFonts w:ascii="Times New Roman" w:hAnsi="Times New Roman" w:cs="Times New Roman"/>
          <w:b/>
          <w:bCs/>
          <w:i/>
          <w:iCs/>
          <w:sz w:val="24"/>
          <w:szCs w:val="24"/>
          <w:lang w:val="vi-VN"/>
        </w:rPr>
        <w:t>We fight for everyone’s rights, but nobody fights for us.”</w:t>
      </w:r>
    </w:p>
    <w:p w14:paraId="6489F2FF" w14:textId="77777777" w:rsidR="009500E5" w:rsidRPr="009500E5" w:rsidRDefault="009500E5" w:rsidP="009500E5">
      <w:pPr>
        <w:rPr>
          <w:rFonts w:ascii="Times New Roman" w:hAnsi="Times New Roman" w:cs="Times New Roman"/>
          <w:sz w:val="24"/>
          <w:szCs w:val="24"/>
        </w:rPr>
      </w:pPr>
      <w:r w:rsidRPr="009500E5">
        <w:rPr>
          <w:rFonts w:ascii="Times New Roman" w:hAnsi="Times New Roman" w:cs="Times New Roman"/>
          <w:sz w:val="24"/>
          <w:szCs w:val="24"/>
          <w:lang w:val="vi-VN"/>
        </w:rPr>
        <w:lastRenderedPageBreak/>
        <w:t>Overall, the findings underscore a critical need for the Ministry of Women Affairs and feminist groups to adopt more intentional, intersectional engagement strategies that recognize sex workers as legitimate stakeholders in gender justice. Without this shift, sex workers will continue to be left out of the very spaces that claim to champion the rights of all women.</w:t>
      </w:r>
    </w:p>
    <w:p w14:paraId="60842F56"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Recommendations</w:t>
      </w:r>
    </w:p>
    <w:p w14:paraId="4A18E68F"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1. Institutionalize Sex Worker Inclusion in Gender Platforms</w:t>
      </w:r>
    </w:p>
    <w:p w14:paraId="3851E081"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The Ministry of Women Affairs should formally integrate sex worker-led organizations into all national and state-level gender equality structures. This includes guaranteeing seats for sex worker representatives in policy development processes, gender working groups, technical committees, and GBV coordination mechanisms. Institutionalizing this participation ensures that policies are informed by lived realities and that sex workers’ needs are not treated as an afterthought but as an integral part of national gender justice efforts.</w:t>
      </w:r>
    </w:p>
    <w:p w14:paraId="381E8590"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2. Strengthen Partnerships with Feminist Movements</w:t>
      </w:r>
    </w:p>
    <w:p w14:paraId="05F6B0D8"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Feminist movements in Nigeria should adopt explicit commitments to inclusion by recognizing sex workers as part of the broader feminist constituency. This requires feminist groups to create collaborative spaces where sex worker organizations can contribute to joint advocacy, co-develop research, issue joint statements, and participate in campaigns addressing bodily autonomy, violence, and economic rights. Building these alliances will strengthen movement solidarity and advance a unified feminist vision that leaves no one behind.</w:t>
      </w:r>
    </w:p>
    <w:p w14:paraId="63EB058A"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3. Capacity Strengthening for Sex Worker-Led Organizations</w:t>
      </w:r>
    </w:p>
    <w:p w14:paraId="4A406C61"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There is a need to invest in long-term capacity strengthening for sex worker-led groups to enhance their leadership roles within national gender spaces. Support should focus on building strategic advocacy skills, strengthening organizational governance, improving resource mobilization, strengthening digital and physical safety practices, and equipping leaders with the tools needed to participate effectively in national and state-level dialogues. Strengthened organizations are better positioned to influence decision-making and sustain their engagement.</w:t>
      </w:r>
    </w:p>
    <w:p w14:paraId="248A98A3"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4. Build Anti-Stigma Sensitization Programs</w:t>
      </w:r>
    </w:p>
    <w:p w14:paraId="740E5F0E"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Both the Ministry of Women Affairs and feminist organizations should implement structured anti-stigma training and orientation programs. These sessions should help stakeholders challenge moralistic perspectives, confront biases, and deepen their understanding of sex workers’ human rights. Sensitization efforts will promote empathy, reduce discriminatory attitudes, and foster an enabling environment where sex workers can engage without fear or judgment.</w:t>
      </w:r>
    </w:p>
    <w:p w14:paraId="6661A4FA"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5. Establish Clear Communication Channels</w:t>
      </w:r>
    </w:p>
    <w:p w14:paraId="4B0305A1"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lastRenderedPageBreak/>
        <w:t>To sustain engagement, formal and predictable communication channels should be created between sex worker-led groups and state and national authorities. This should include identifying focal persons within each Ministry office, scheduling regular consultative meetings, and setting up functional digital communication platforms. Structured communication will help reduce the disconnect between sex workers and policymakers while enabling swift response to emerging issues.</w:t>
      </w:r>
    </w:p>
    <w:p w14:paraId="4DFBC02A"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6. Support Research and Data Visibility</w:t>
      </w:r>
    </w:p>
    <w:p w14:paraId="4E07DA75"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Government agencies, feminist organizations, and research institutions should collaborate with sex worker-led networks to generate reliable evidence on the gender justice needs of sex workers. This includes studies on GBV, SRHR access, livelihood challenges, legal barriers, and civic participation. Improved data visibility will strengthen evidence-based advocacy and ensure that national gender policies reflect the lived realities of sex workers across Nigeria.</w:t>
      </w:r>
    </w:p>
    <w:p w14:paraId="1E54941F"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7. Promote Shared Feminist Solidarity</w:t>
      </w:r>
    </w:p>
    <w:p w14:paraId="2DC32608"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There is a need to intentionally reposition sex workers’ rights as central to feminist principles of autonomy, dignity, bodily integrity, freedom from violence, and economic justice. By framing sex worker inclusion as a core feminist issue, both the Ministry of Women Affairs and feminist collectives can help shift public narratives, challenge harmful stereotypes, and build broader intersectional movements that uphold the rights of all women—including those in sex work.</w:t>
      </w:r>
    </w:p>
    <w:p w14:paraId="3296C04C" w14:textId="74A0D0EC" w:rsidR="009500E5" w:rsidRPr="009500E5" w:rsidRDefault="009500E5" w:rsidP="009500E5">
      <w:pPr>
        <w:rPr>
          <w:rFonts w:ascii="Times New Roman" w:hAnsi="Times New Roman" w:cs="Times New Roman"/>
          <w:sz w:val="24"/>
          <w:szCs w:val="24"/>
          <w:lang w:val="vi-VN"/>
        </w:rPr>
      </w:pPr>
    </w:p>
    <w:p w14:paraId="5C5BF0B6" w14:textId="77777777" w:rsidR="009500E5" w:rsidRPr="009500E5" w:rsidRDefault="009500E5" w:rsidP="009500E5">
      <w:pPr>
        <w:rPr>
          <w:rFonts w:ascii="Times New Roman" w:hAnsi="Times New Roman" w:cs="Times New Roman"/>
          <w:b/>
          <w:bCs/>
          <w:sz w:val="24"/>
          <w:szCs w:val="24"/>
          <w:lang w:val="vi-VN"/>
        </w:rPr>
      </w:pPr>
      <w:r w:rsidRPr="009500E5">
        <w:rPr>
          <w:rFonts w:ascii="Times New Roman" w:hAnsi="Times New Roman" w:cs="Times New Roman"/>
          <w:b/>
          <w:bCs/>
          <w:sz w:val="24"/>
          <w:szCs w:val="24"/>
          <w:lang w:val="vi-VN"/>
        </w:rPr>
        <w:t>Key Action Points</w:t>
      </w:r>
    </w:p>
    <w:p w14:paraId="4E2E4C6F"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 </w:t>
      </w:r>
      <w:r w:rsidRPr="009500E5">
        <w:rPr>
          <w:rFonts w:ascii="Times New Roman" w:hAnsi="Times New Roman" w:cs="Times New Roman"/>
          <w:b/>
          <w:bCs/>
          <w:sz w:val="24"/>
          <w:szCs w:val="24"/>
          <w:lang w:val="vi-VN"/>
        </w:rPr>
        <w:t>Convene a National Roundtable:</w:t>
      </w:r>
      <w:r w:rsidRPr="009500E5">
        <w:rPr>
          <w:rFonts w:ascii="Times New Roman" w:hAnsi="Times New Roman" w:cs="Times New Roman"/>
          <w:sz w:val="24"/>
          <w:szCs w:val="24"/>
          <w:lang w:val="vi-VN"/>
        </w:rPr>
        <w:t xml:space="preserve"> Bring together sex worker leaders from across Nigeria, feminist coalitions, and the Ministry of Women Affairs to initiate structured and ongoing dialogue on gender justice and inclusion.</w:t>
      </w:r>
    </w:p>
    <w:p w14:paraId="613721C1"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 </w:t>
      </w:r>
      <w:r w:rsidRPr="009500E5">
        <w:rPr>
          <w:rFonts w:ascii="Times New Roman" w:hAnsi="Times New Roman" w:cs="Times New Roman"/>
          <w:b/>
          <w:bCs/>
          <w:sz w:val="24"/>
          <w:szCs w:val="24"/>
          <w:lang w:val="vi-VN"/>
        </w:rPr>
        <w:t>Develop an Intersectional Inclusion Framework:</w:t>
      </w:r>
      <w:r w:rsidRPr="009500E5">
        <w:rPr>
          <w:rFonts w:ascii="Times New Roman" w:hAnsi="Times New Roman" w:cs="Times New Roman"/>
          <w:sz w:val="24"/>
          <w:szCs w:val="24"/>
          <w:lang w:val="vi-VN"/>
        </w:rPr>
        <w:t xml:space="preserve"> Formulate a national framework outlining how sex workers will be included in gender sector planning, participation spaces, policy dialogue, and advocacy processes.</w:t>
      </w:r>
    </w:p>
    <w:p w14:paraId="1B16C461"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 </w:t>
      </w:r>
      <w:r w:rsidRPr="009500E5">
        <w:rPr>
          <w:rFonts w:ascii="Times New Roman" w:hAnsi="Times New Roman" w:cs="Times New Roman"/>
          <w:b/>
          <w:bCs/>
          <w:sz w:val="24"/>
          <w:szCs w:val="24"/>
          <w:lang w:val="vi-VN"/>
        </w:rPr>
        <w:t>Designate State-Level Focal Points:</w:t>
      </w:r>
      <w:r w:rsidRPr="009500E5">
        <w:rPr>
          <w:rFonts w:ascii="Times New Roman" w:hAnsi="Times New Roman" w:cs="Times New Roman"/>
          <w:sz w:val="24"/>
          <w:szCs w:val="24"/>
          <w:lang w:val="vi-VN"/>
        </w:rPr>
        <w:t xml:space="preserve"> Ensure that every State Ministry of Women Affairs appoints a dedicated liaison officer responsible for coordinating with sex worker-led groups and facilitating engagement.</w:t>
      </w:r>
    </w:p>
    <w:p w14:paraId="537879DB"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 </w:t>
      </w:r>
      <w:r w:rsidRPr="009500E5">
        <w:rPr>
          <w:rFonts w:ascii="Times New Roman" w:hAnsi="Times New Roman" w:cs="Times New Roman"/>
          <w:b/>
          <w:bCs/>
          <w:sz w:val="24"/>
          <w:szCs w:val="24"/>
          <w:lang w:val="vi-VN"/>
        </w:rPr>
        <w:t>Integrate Sex Worker Issues Into National Gender Policy Reviews:</w:t>
      </w:r>
      <w:r w:rsidRPr="009500E5">
        <w:rPr>
          <w:rFonts w:ascii="Times New Roman" w:hAnsi="Times New Roman" w:cs="Times New Roman"/>
          <w:sz w:val="24"/>
          <w:szCs w:val="24"/>
          <w:lang w:val="vi-VN"/>
        </w:rPr>
        <w:t xml:space="preserve"> Include issues such as criminalization, GBV, SRHR, discrimination, and economic empowerment in upcoming national policy reviews to ensure they reflect the realities of sex workers.</w:t>
      </w:r>
    </w:p>
    <w:p w14:paraId="4FE79E60"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lastRenderedPageBreak/>
        <w:t xml:space="preserve">• </w:t>
      </w:r>
      <w:r w:rsidRPr="009500E5">
        <w:rPr>
          <w:rFonts w:ascii="Times New Roman" w:hAnsi="Times New Roman" w:cs="Times New Roman"/>
          <w:b/>
          <w:bCs/>
          <w:sz w:val="24"/>
          <w:szCs w:val="24"/>
          <w:lang w:val="vi-VN"/>
        </w:rPr>
        <w:t>Launch Joint Advocacy Campaigns:</w:t>
      </w:r>
      <w:r w:rsidRPr="009500E5">
        <w:rPr>
          <w:rFonts w:ascii="Times New Roman" w:hAnsi="Times New Roman" w:cs="Times New Roman"/>
          <w:sz w:val="24"/>
          <w:szCs w:val="24"/>
          <w:lang w:val="vi-VN"/>
        </w:rPr>
        <w:t xml:space="preserve"> Promote collaborative advocacy initiatives involving sex worker networks, feminist groups, and the Ministry on themes like GBV response, decriminalization, bodily autonomy, and challenging harmful gender norms.</w:t>
      </w:r>
    </w:p>
    <w:p w14:paraId="03B39E39"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 </w:t>
      </w:r>
      <w:r w:rsidRPr="009500E5">
        <w:rPr>
          <w:rFonts w:ascii="Times New Roman" w:hAnsi="Times New Roman" w:cs="Times New Roman"/>
          <w:b/>
          <w:bCs/>
          <w:sz w:val="24"/>
          <w:szCs w:val="24"/>
          <w:lang w:val="vi-VN"/>
        </w:rPr>
        <w:t>Support Peer-Led Engagement Platforms:</w:t>
      </w:r>
      <w:r w:rsidRPr="009500E5">
        <w:rPr>
          <w:rFonts w:ascii="Times New Roman" w:hAnsi="Times New Roman" w:cs="Times New Roman"/>
          <w:sz w:val="24"/>
          <w:szCs w:val="24"/>
          <w:lang w:val="vi-VN"/>
        </w:rPr>
        <w:t xml:space="preserve"> Provide resources for sex worker leaders to convene dialogues, community consultations, and policy engagement sessions with feminist movements and government partners.</w:t>
      </w:r>
    </w:p>
    <w:p w14:paraId="1CC99FEA" w14:textId="77777777" w:rsidR="009500E5" w:rsidRPr="009500E5" w:rsidRDefault="009500E5" w:rsidP="009500E5">
      <w:pPr>
        <w:rPr>
          <w:rFonts w:ascii="Times New Roman" w:hAnsi="Times New Roman" w:cs="Times New Roman"/>
          <w:sz w:val="24"/>
          <w:szCs w:val="24"/>
          <w:lang w:val="vi-VN"/>
        </w:rPr>
      </w:pPr>
      <w:r w:rsidRPr="009500E5">
        <w:rPr>
          <w:rFonts w:ascii="Times New Roman" w:hAnsi="Times New Roman" w:cs="Times New Roman"/>
          <w:sz w:val="24"/>
          <w:szCs w:val="24"/>
          <w:lang w:val="vi-VN"/>
        </w:rPr>
        <w:t xml:space="preserve">• </w:t>
      </w:r>
      <w:r w:rsidRPr="009500E5">
        <w:rPr>
          <w:rFonts w:ascii="Times New Roman" w:hAnsi="Times New Roman" w:cs="Times New Roman"/>
          <w:b/>
          <w:bCs/>
          <w:sz w:val="24"/>
          <w:szCs w:val="24"/>
          <w:lang w:val="vi-VN"/>
        </w:rPr>
        <w:t>Monitor and Document Engagement Progress:</w:t>
      </w:r>
      <w:r w:rsidRPr="009500E5">
        <w:rPr>
          <w:rFonts w:ascii="Times New Roman" w:hAnsi="Times New Roman" w:cs="Times New Roman"/>
          <w:sz w:val="24"/>
          <w:szCs w:val="24"/>
          <w:lang w:val="vi-VN"/>
        </w:rPr>
        <w:t xml:space="preserve"> Establish indicators to track partnerships, the frequency of consultative meetings, policy shifts, and the extent to which sex worker issues are integrated into gender sector programming.</w:t>
      </w:r>
    </w:p>
    <w:p w14:paraId="72296BD4" w14:textId="77777777" w:rsidR="009500E5" w:rsidRPr="009500E5" w:rsidRDefault="009500E5" w:rsidP="009500E5">
      <w:pPr>
        <w:rPr>
          <w:rFonts w:ascii="Times New Roman" w:hAnsi="Times New Roman" w:cs="Times New Roman"/>
          <w:sz w:val="24"/>
          <w:szCs w:val="24"/>
        </w:rPr>
      </w:pPr>
    </w:p>
    <w:p w14:paraId="4C5B450D" w14:textId="77777777" w:rsidR="007B09C9" w:rsidRPr="009500E5" w:rsidRDefault="007B09C9">
      <w:pPr>
        <w:rPr>
          <w:rFonts w:ascii="Times New Roman" w:hAnsi="Times New Roman" w:cs="Times New Roman"/>
          <w:sz w:val="24"/>
          <w:szCs w:val="24"/>
        </w:rPr>
      </w:pPr>
    </w:p>
    <w:sectPr w:rsidR="007B09C9" w:rsidRPr="009500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027D" w14:textId="77777777" w:rsidR="000A78EC" w:rsidRDefault="000A78EC" w:rsidP="007631DD">
      <w:pPr>
        <w:spacing w:after="0" w:line="240" w:lineRule="auto"/>
      </w:pPr>
      <w:r>
        <w:separator/>
      </w:r>
    </w:p>
  </w:endnote>
  <w:endnote w:type="continuationSeparator" w:id="0">
    <w:p w14:paraId="5030FAC2" w14:textId="77777777" w:rsidR="000A78EC" w:rsidRDefault="000A78EC" w:rsidP="0076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748B" w14:textId="77777777" w:rsidR="000A78EC" w:rsidRDefault="000A78EC" w:rsidP="007631DD">
      <w:pPr>
        <w:spacing w:after="0" w:line="240" w:lineRule="auto"/>
      </w:pPr>
      <w:r>
        <w:separator/>
      </w:r>
    </w:p>
  </w:footnote>
  <w:footnote w:type="continuationSeparator" w:id="0">
    <w:p w14:paraId="7E140204" w14:textId="77777777" w:rsidR="000A78EC" w:rsidRDefault="000A78EC" w:rsidP="00763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E77"/>
    <w:multiLevelType w:val="hybridMultilevel"/>
    <w:tmpl w:val="A8983A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322C9"/>
    <w:multiLevelType w:val="multilevel"/>
    <w:tmpl w:val="509849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97F00"/>
    <w:multiLevelType w:val="multilevel"/>
    <w:tmpl w:val="28FC9A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F6197"/>
    <w:multiLevelType w:val="hybridMultilevel"/>
    <w:tmpl w:val="4FB07F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E6FC4"/>
    <w:multiLevelType w:val="multilevel"/>
    <w:tmpl w:val="FB4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B02EC"/>
    <w:multiLevelType w:val="hybridMultilevel"/>
    <w:tmpl w:val="BF48BE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15A2E"/>
    <w:multiLevelType w:val="multilevel"/>
    <w:tmpl w:val="E14C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A69BF"/>
    <w:multiLevelType w:val="multilevel"/>
    <w:tmpl w:val="265E6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CE72FD"/>
    <w:multiLevelType w:val="multilevel"/>
    <w:tmpl w:val="5FB62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41DC0"/>
    <w:multiLevelType w:val="multilevel"/>
    <w:tmpl w:val="0C04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E10D2"/>
    <w:multiLevelType w:val="multilevel"/>
    <w:tmpl w:val="D772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C85D9B"/>
    <w:multiLevelType w:val="multilevel"/>
    <w:tmpl w:val="91C25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070A80"/>
    <w:multiLevelType w:val="multilevel"/>
    <w:tmpl w:val="E102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030DC9"/>
    <w:multiLevelType w:val="multilevel"/>
    <w:tmpl w:val="2A4C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64DA8"/>
    <w:multiLevelType w:val="multilevel"/>
    <w:tmpl w:val="B7E6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22852"/>
    <w:multiLevelType w:val="multilevel"/>
    <w:tmpl w:val="348AE3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E03D47"/>
    <w:multiLevelType w:val="multilevel"/>
    <w:tmpl w:val="F33E58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289097">
    <w:abstractNumId w:val="16"/>
  </w:num>
  <w:num w:numId="2" w16cid:durableId="580867601">
    <w:abstractNumId w:val="8"/>
  </w:num>
  <w:num w:numId="3" w16cid:durableId="77561736">
    <w:abstractNumId w:val="13"/>
  </w:num>
  <w:num w:numId="4" w16cid:durableId="1292008876">
    <w:abstractNumId w:val="11"/>
  </w:num>
  <w:num w:numId="5" w16cid:durableId="2021658652">
    <w:abstractNumId w:val="6"/>
  </w:num>
  <w:num w:numId="6" w16cid:durableId="1761870708">
    <w:abstractNumId w:val="2"/>
  </w:num>
  <w:num w:numId="7" w16cid:durableId="1153251569">
    <w:abstractNumId w:val="4"/>
  </w:num>
  <w:num w:numId="8" w16cid:durableId="33234963">
    <w:abstractNumId w:val="3"/>
  </w:num>
  <w:num w:numId="9" w16cid:durableId="1049376322">
    <w:abstractNumId w:val="5"/>
  </w:num>
  <w:num w:numId="10" w16cid:durableId="660473916">
    <w:abstractNumId w:val="10"/>
  </w:num>
  <w:num w:numId="11" w16cid:durableId="825316387">
    <w:abstractNumId w:val="1"/>
  </w:num>
  <w:num w:numId="12" w16cid:durableId="247808789">
    <w:abstractNumId w:val="15"/>
  </w:num>
  <w:num w:numId="13" w16cid:durableId="851410065">
    <w:abstractNumId w:val="14"/>
  </w:num>
  <w:num w:numId="14" w16cid:durableId="568228621">
    <w:abstractNumId w:val="0"/>
  </w:num>
  <w:num w:numId="15" w16cid:durableId="1780222430">
    <w:abstractNumId w:val="7"/>
  </w:num>
  <w:num w:numId="16" w16cid:durableId="182525135">
    <w:abstractNumId w:val="9"/>
  </w:num>
  <w:num w:numId="17" w16cid:durableId="1936009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94"/>
    <w:rsid w:val="00044C42"/>
    <w:rsid w:val="000519AA"/>
    <w:rsid w:val="00055803"/>
    <w:rsid w:val="00056A05"/>
    <w:rsid w:val="00094B91"/>
    <w:rsid w:val="000A14C9"/>
    <w:rsid w:val="000A78EC"/>
    <w:rsid w:val="000F76F9"/>
    <w:rsid w:val="00140D83"/>
    <w:rsid w:val="001457F4"/>
    <w:rsid w:val="0014640A"/>
    <w:rsid w:val="00153F1E"/>
    <w:rsid w:val="00180331"/>
    <w:rsid w:val="001A6CD9"/>
    <w:rsid w:val="001B682D"/>
    <w:rsid w:val="001D6B09"/>
    <w:rsid w:val="00246FFC"/>
    <w:rsid w:val="00265B9A"/>
    <w:rsid w:val="0028719C"/>
    <w:rsid w:val="00295106"/>
    <w:rsid w:val="002F3A27"/>
    <w:rsid w:val="00330ED1"/>
    <w:rsid w:val="00363AC6"/>
    <w:rsid w:val="00386DA7"/>
    <w:rsid w:val="003928C4"/>
    <w:rsid w:val="00392C2D"/>
    <w:rsid w:val="003D39B7"/>
    <w:rsid w:val="0044129A"/>
    <w:rsid w:val="00460550"/>
    <w:rsid w:val="00473850"/>
    <w:rsid w:val="004852DB"/>
    <w:rsid w:val="004B0F55"/>
    <w:rsid w:val="004E5D34"/>
    <w:rsid w:val="00556275"/>
    <w:rsid w:val="0057180E"/>
    <w:rsid w:val="0059707B"/>
    <w:rsid w:val="005F01D9"/>
    <w:rsid w:val="00647ECD"/>
    <w:rsid w:val="006C1760"/>
    <w:rsid w:val="006C50FE"/>
    <w:rsid w:val="00724A5B"/>
    <w:rsid w:val="00735DF9"/>
    <w:rsid w:val="007631DD"/>
    <w:rsid w:val="00793307"/>
    <w:rsid w:val="007B09C9"/>
    <w:rsid w:val="007B2436"/>
    <w:rsid w:val="00811C6D"/>
    <w:rsid w:val="00876FF6"/>
    <w:rsid w:val="008A37C3"/>
    <w:rsid w:val="008B70ED"/>
    <w:rsid w:val="008D6502"/>
    <w:rsid w:val="008E2B56"/>
    <w:rsid w:val="009500E5"/>
    <w:rsid w:val="009B102E"/>
    <w:rsid w:val="00A21A82"/>
    <w:rsid w:val="00AA1FBE"/>
    <w:rsid w:val="00AD2879"/>
    <w:rsid w:val="00AF6038"/>
    <w:rsid w:val="00B05569"/>
    <w:rsid w:val="00B213FA"/>
    <w:rsid w:val="00B479ED"/>
    <w:rsid w:val="00B6563E"/>
    <w:rsid w:val="00BB33B8"/>
    <w:rsid w:val="00C21DD7"/>
    <w:rsid w:val="00CA2919"/>
    <w:rsid w:val="00CC6C7D"/>
    <w:rsid w:val="00D20F9B"/>
    <w:rsid w:val="00D25733"/>
    <w:rsid w:val="00D349A5"/>
    <w:rsid w:val="00DB03BB"/>
    <w:rsid w:val="00DE175A"/>
    <w:rsid w:val="00E34673"/>
    <w:rsid w:val="00E61FB1"/>
    <w:rsid w:val="00E638FF"/>
    <w:rsid w:val="00E71F94"/>
    <w:rsid w:val="00E80557"/>
    <w:rsid w:val="00E825A5"/>
    <w:rsid w:val="00F7347E"/>
    <w:rsid w:val="00FD51B2"/>
    <w:rsid w:val="00FE1617"/>
    <w:rsid w:val="00FE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33802"/>
  <w15:chartTrackingRefBased/>
  <w15:docId w15:val="{41A1F87B-8333-43C6-83A0-4028FBA2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F9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F94"/>
    <w:pPr>
      <w:ind w:left="720"/>
      <w:contextualSpacing/>
    </w:pPr>
  </w:style>
  <w:style w:type="table" w:styleId="TableGrid">
    <w:name w:val="Table Grid"/>
    <w:basedOn w:val="TableNormal"/>
    <w:uiPriority w:val="59"/>
    <w:rsid w:val="0044129A"/>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03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80331"/>
    <w:rPr>
      <w:b/>
      <w:bCs/>
    </w:rPr>
  </w:style>
  <w:style w:type="character" w:styleId="Emphasis">
    <w:name w:val="Emphasis"/>
    <w:basedOn w:val="DefaultParagraphFont"/>
    <w:uiPriority w:val="20"/>
    <w:qFormat/>
    <w:rsid w:val="00044C42"/>
    <w:rPr>
      <w:i/>
      <w:iCs/>
    </w:rPr>
  </w:style>
  <w:style w:type="paragraph" w:styleId="Header">
    <w:name w:val="header"/>
    <w:basedOn w:val="Normal"/>
    <w:link w:val="HeaderChar"/>
    <w:uiPriority w:val="99"/>
    <w:unhideWhenUsed/>
    <w:rsid w:val="00763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1DD"/>
  </w:style>
  <w:style w:type="paragraph" w:styleId="Footer">
    <w:name w:val="footer"/>
    <w:basedOn w:val="Normal"/>
    <w:link w:val="FooterChar"/>
    <w:uiPriority w:val="99"/>
    <w:unhideWhenUsed/>
    <w:rsid w:val="00763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859</TotalTime>
  <Pages>4</Pages>
  <Words>1139</Words>
  <Characters>7738</Characters>
  <Application>Microsoft Office Word</Application>
  <DocSecurity>0</DocSecurity>
  <Lines>184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acct14</cp:lastModifiedBy>
  <cp:revision>3</cp:revision>
  <dcterms:created xsi:type="dcterms:W3CDTF">2025-11-19T06:30:00Z</dcterms:created>
  <dcterms:modified xsi:type="dcterms:W3CDTF">2025-11-19T06:30:00Z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9f72486f-7b8b-409c-a0eb-1e3eac818a1f</vt:lpwstr>
  </property>
</Properties>
</file>